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Никогда не поздно выбрать электронную трудовую книжку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Формирование электронных трудовых книжек началось 1 января 2020 года. До 31 декабря 2020 года работающие граждане должны были определиться, в каком виде они будут вести трудовую книжку – </w:t>
      </w:r>
      <w:proofErr w:type="gramStart"/>
      <w:r>
        <w:rPr>
          <w:rFonts w:ascii="Tms Rmn" w:hAnsi="Tms Rmn" w:cs="Tms Rmn"/>
          <w:color w:val="000000"/>
          <w:lang w:eastAsia="ru-RU"/>
        </w:rPr>
        <w:t>в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бумажном или электронном.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Напоминаем, что переход на новый формат ведения сведений о трудовой деятельности до</w:t>
      </w:r>
      <w:r>
        <w:rPr>
          <w:rFonts w:ascii="Tms Rmn" w:hAnsi="Tms Rmn" w:cs="Tms Rmn"/>
          <w:color w:val="000000"/>
          <w:lang w:eastAsia="ru-RU"/>
        </w:rPr>
        <w:t>б</w:t>
      </w:r>
      <w:r>
        <w:rPr>
          <w:rFonts w:ascii="Tms Rmn" w:hAnsi="Tms Rmn" w:cs="Tms Rmn"/>
          <w:color w:val="000000"/>
          <w:lang w:eastAsia="ru-RU"/>
        </w:rPr>
        <w:t>ровольный и осуществляется с согласия человека. Если первоначально работник изъявил ж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лание вести привычную бумажную трудовую книжку, у него всегда остаётся право перейти на электронный формат.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proofErr w:type="gramStart"/>
      <w:r>
        <w:rPr>
          <w:rFonts w:ascii="Tms Rmn" w:hAnsi="Tms Rmn" w:cs="Tms Rmn"/>
          <w:color w:val="000000"/>
          <w:lang w:eastAsia="ru-RU"/>
        </w:rPr>
        <w:t>Электронная трудовая книжка сохраняет практически весь перечень сведений, которые уч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тываются в бумажной трудовой книжке: место работы, даты приема, увольнения, перевода на другую работу, должность, профессия, специальность, квалификация, структурное по</w:t>
      </w:r>
      <w:r>
        <w:rPr>
          <w:rFonts w:ascii="Tms Rmn" w:hAnsi="Tms Rmn" w:cs="Tms Rmn"/>
          <w:color w:val="000000"/>
          <w:lang w:eastAsia="ru-RU"/>
        </w:rPr>
        <w:t>д</w:t>
      </w:r>
      <w:r>
        <w:rPr>
          <w:rFonts w:ascii="Tms Rmn" w:hAnsi="Tms Rmn" w:cs="Tms Rmn"/>
          <w:color w:val="000000"/>
          <w:lang w:eastAsia="ru-RU"/>
        </w:rPr>
        <w:t>разделение, основание кадрового мероприятия и т.д.</w:t>
      </w:r>
      <w:proofErr w:type="gramEnd"/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работников электронная трудовая книжка обеспечивает постоянный и удобный доступ к информации о своей трудовой деятельности, даёт возможность дистанционного труд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устройства.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Выписку из электронной трудовой книжки можно получить в личном кабинете гражданина на сайте ПФР или на портале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>, в офисе МФЦ либо в клиентской службе ПФР, а та</w:t>
      </w:r>
      <w:r>
        <w:rPr>
          <w:rFonts w:ascii="Tms Rmn" w:hAnsi="Tms Rmn" w:cs="Tms Rmn"/>
          <w:color w:val="000000"/>
          <w:lang w:eastAsia="ru-RU"/>
        </w:rPr>
        <w:t>к</w:t>
      </w:r>
      <w:r>
        <w:rPr>
          <w:rFonts w:ascii="Tms Rmn" w:hAnsi="Tms Rmn" w:cs="Tms Rmn"/>
          <w:color w:val="000000"/>
          <w:lang w:eastAsia="ru-RU"/>
        </w:rPr>
        <w:t xml:space="preserve">же в виде бумажной выписки у работодателя за период работы у </w:t>
      </w:r>
      <w:proofErr w:type="spellStart"/>
      <w:r>
        <w:rPr>
          <w:rFonts w:ascii="Tms Rmn" w:hAnsi="Tms Rmn" w:cs="Tms Rmn"/>
          <w:color w:val="000000"/>
          <w:lang w:eastAsia="ru-RU"/>
        </w:rPr>
        <w:t>него</w:t>
      </w:r>
      <w:proofErr w:type="gramStart"/>
      <w:r>
        <w:rPr>
          <w:rFonts w:ascii="Tms Rmn" w:hAnsi="Tms Rmn" w:cs="Tms Rmn"/>
          <w:color w:val="000000"/>
          <w:lang w:eastAsia="ru-RU"/>
        </w:rPr>
        <w:t>.н</w:t>
      </w:r>
      <w:proofErr w:type="gramEnd"/>
      <w:r>
        <w:rPr>
          <w:rFonts w:ascii="Tms Rmn" w:hAnsi="Tms Rmn" w:cs="Tms Rmn"/>
          <w:color w:val="000000"/>
          <w:lang w:eastAsia="ru-RU"/>
        </w:rPr>
        <w:t>ий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о трудовой де</w:t>
      </w:r>
      <w:r>
        <w:rPr>
          <w:rFonts w:ascii="Tms Rmn" w:hAnsi="Tms Rmn" w:cs="Tms Rmn"/>
          <w:color w:val="000000"/>
          <w:lang w:eastAsia="ru-RU"/>
        </w:rPr>
        <w:t>я</w:t>
      </w:r>
      <w:r>
        <w:rPr>
          <w:rFonts w:ascii="Tms Rmn" w:hAnsi="Tms Rmn" w:cs="Tms Rmn"/>
          <w:color w:val="000000"/>
          <w:lang w:eastAsia="ru-RU"/>
        </w:rPr>
        <w:t>тельности в электронном виде;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изменение наименования страхователя;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т.д.));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>
      <w:bookmarkStart w:id="0" w:name="_GoBack"/>
      <w:bookmarkEnd w:id="0"/>
    </w:p>
    <w:sectPr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220980</wp:posOffset>
              </wp:positionV>
              <wp:extent cx="6476365" cy="1054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6365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    Государственное учреждение – Управление Пенсионного фонда</w:t>
                          </w: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ptab w:relativeTo="margin" w:alignment="center" w:leader="none"/>
                          </w: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 в Петроградском районе Санкт-Петербурга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05pt;margin-top:17.4pt;width:509.95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vQjQIAAB0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" stroked="f">
              <v:fill opacity="0"/>
              <v:textbox inset="0,0,0,0">
                <w:txbxContent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          Государственное учреждение – Управление Пенсионного фонда</w:t>
                    </w: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ptab w:relativeTo="margin" w:alignment="center" w:leader="none"/>
                    </w:r>
                    <w:r>
                      <w:rPr>
                        <w:sz w:val="28"/>
                        <w:szCs w:val="28"/>
                      </w:rPr>
                      <w:t>Российской Федерации в Петроградском районе Санкт-Петербурга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8F8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A2798B"/>
    <w:multiLevelType w:val="multilevel"/>
    <w:tmpl w:val="5B0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B758AA"/>
    <w:multiLevelType w:val="multilevel"/>
    <w:tmpl w:val="651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E5587"/>
    <w:multiLevelType w:val="multilevel"/>
    <w:tmpl w:val="D56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56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258B7-B56A-4503-9776-B948B5DB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ps</cp:lastModifiedBy>
  <cp:revision>4</cp:revision>
  <cp:lastPrinted>2017-04-26T11:10:00Z</cp:lastPrinted>
  <dcterms:created xsi:type="dcterms:W3CDTF">2021-05-14T11:35:00Z</dcterms:created>
  <dcterms:modified xsi:type="dcterms:W3CDTF">2021-05-18T10:36:00Z</dcterms:modified>
</cp:coreProperties>
</file>