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</w:pPr>
    </w:p>
    <w:p>
      <w:pPr>
        <w:spacing w:line="276" w:lineRule="auto"/>
        <w:jc w:val="center"/>
      </w:pPr>
      <w:bookmarkStart w:id="0" w:name="_GoBack"/>
      <w:r>
        <w:rPr>
          <w:b/>
          <w:sz w:val="40"/>
          <w:szCs w:val="40"/>
        </w:rPr>
        <w:t>Преимущества электронной трудовой книжки</w:t>
      </w:r>
    </w:p>
    <w:bookmarkEnd w:id="0"/>
    <w:p>
      <w:pPr>
        <w:spacing w:line="276" w:lineRule="auto"/>
        <w:ind w:firstLine="708"/>
        <w:jc w:val="both"/>
      </w:pPr>
    </w:p>
    <w:p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Удобный и быстрый доступ работников к информации о трудовой деятельности. Минимизация ошибочных, неточных и недостоверных све</w:t>
      </w:r>
      <w:r>
        <w:rPr>
          <w:sz w:val="32"/>
          <w:szCs w:val="32"/>
        </w:rPr>
        <w:t>дений о трудовой деятельности.</w:t>
      </w:r>
    </w:p>
    <w:p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Дополнительные возможности дистанционного трудоустройства.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Снижение издержек работодателей на приобретение, ведение и хранение бумажных трудов</w:t>
      </w:r>
      <w:r>
        <w:rPr>
          <w:sz w:val="32"/>
          <w:szCs w:val="32"/>
        </w:rPr>
        <w:t>ых книжек.</w:t>
      </w:r>
    </w:p>
    <w:p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Дистанционное оформление пенсий по данным лицевого счета без дополнительного</w:t>
      </w:r>
      <w:r>
        <w:rPr>
          <w:sz w:val="32"/>
          <w:szCs w:val="32"/>
        </w:rPr>
        <w:t xml:space="preserve"> документального подтверждения.</w:t>
      </w:r>
    </w:p>
    <w:p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Использование данных электронной трудовой книжки для по</w:t>
      </w:r>
      <w:r>
        <w:rPr>
          <w:sz w:val="32"/>
          <w:szCs w:val="32"/>
        </w:rPr>
        <w:t>лучения государственных услуг.</w:t>
      </w:r>
    </w:p>
    <w:p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Новые возможности аналитической обработки данных о трудовой деятельности для работодателей и госорганов.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Высокий уровень безопасности и сохранности данных.</w:t>
      </w:r>
    </w:p>
    <w:sectPr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220980</wp:posOffset>
              </wp:positionV>
              <wp:extent cx="6476365" cy="1054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6365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       Государственное учреждение – Управление Пенсионного фонда</w:t>
                          </w:r>
                        </w:p>
                        <w:p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ptab w:relativeTo="margin" w:alignment="center" w:leader="none"/>
                          </w: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 в Петроградском районе Санкт-Петербурга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.05pt;margin-top:17.4pt;width:509.95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" stroked="f">
              <v:fill opacity="0"/>
              <v:textbox inset="0,0,0,0">
                <w:txbxContent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          Государственное учреждение – Управление Пенсионного фонда</w:t>
                    </w:r>
                  </w:p>
                  <w:p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ptab w:relativeTo="margin" w:alignment="center" w:leader="none"/>
                    </w:r>
                    <w:r>
                      <w:rPr>
                        <w:sz w:val="28"/>
                        <w:szCs w:val="28"/>
                      </w:rPr>
                      <w:t>Российской Федерации в Петроградском районе Санкт-Петербурга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38F80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A2798B"/>
    <w:multiLevelType w:val="multilevel"/>
    <w:tmpl w:val="5B0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B758AA"/>
    <w:multiLevelType w:val="multilevel"/>
    <w:tmpl w:val="651E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E5587"/>
    <w:multiLevelType w:val="multilevel"/>
    <w:tmpl w:val="D56C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Emphasis"/>
    <w:basedOn w:val="1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  <w:uiPriority w:val="99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lang w:eastAsia="zh-CN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lang w:eastAsia="zh-CN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pPr>
      <w:suppressAutoHyphens w:val="0"/>
      <w:ind w:left="708"/>
    </w:pPr>
    <w:rPr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lang w:eastAsia="zh-CN"/>
    </w:rPr>
  </w:style>
  <w:style w:type="table" w:styleId="af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Emphasis"/>
    <w:basedOn w:val="1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  <w:uiPriority w:val="99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lang w:eastAsia="zh-CN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lang w:eastAsia="zh-CN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pPr>
      <w:suppressAutoHyphens w:val="0"/>
      <w:ind w:left="708"/>
    </w:pPr>
    <w:rPr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lang w:eastAsia="zh-CN"/>
    </w:rPr>
  </w:style>
  <w:style w:type="table" w:styleId="af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561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48837-3ADE-4A43-B34F-0CF69CA0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ps</cp:lastModifiedBy>
  <cp:revision>2</cp:revision>
  <cp:lastPrinted>2017-04-26T11:10:00Z</cp:lastPrinted>
  <dcterms:created xsi:type="dcterms:W3CDTF">2020-12-02T06:45:00Z</dcterms:created>
  <dcterms:modified xsi:type="dcterms:W3CDTF">2020-12-02T06:45:00Z</dcterms:modified>
</cp:coreProperties>
</file>