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В ЕГИССО вы можете узнать о своих пр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а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вах</w:t>
      </w:r>
      <w:bookmarkEnd w:id="0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 на социальное обеспечение</w:t>
      </w:r>
    </w:p>
    <w:p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России третий год действует Единая государственная информационная система с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циального обеспечения (ЕГИССО), оператором и разработчиком которой является Пенсио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ный фонд России.</w:t>
      </w:r>
    </w:p>
    <w:p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Через ЕГИССО гражданин может получить полную информацию о назначенных ему мерах социальной защиты (поддержки), а власти всех уровней - статистическую информ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цию о п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лучателях мер социальной защиты.</w:t>
      </w:r>
    </w:p>
    <w:p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доступа к Личному кабинету получателя социальных услуг на сайте </w:t>
      </w:r>
      <w:hyperlink r:id="rId9" w:history="1">
        <w:r>
          <w:rPr>
            <w:rFonts w:ascii="Tms Rmn" w:hAnsi="Tms Rmn" w:cs="Tms Rmn"/>
            <w:color w:val="0000FF"/>
            <w:lang w:eastAsia="ru-RU"/>
          </w:rPr>
          <w:t>www.egisso.ru</w:t>
        </w:r>
      </w:hyperlink>
      <w:r>
        <w:rPr>
          <w:rFonts w:ascii="Tms Rmn" w:hAnsi="Tms Rmn" w:cs="Tms Rmn"/>
          <w:color w:val="000000"/>
          <w:lang w:eastAsia="ru-RU"/>
        </w:rPr>
        <w:t xml:space="preserve"> нео</w:t>
      </w:r>
      <w:r>
        <w:rPr>
          <w:rFonts w:ascii="Tms Rmn" w:hAnsi="Tms Rmn" w:cs="Tms Rmn"/>
          <w:color w:val="000000"/>
          <w:lang w:eastAsia="ru-RU"/>
        </w:rPr>
        <w:t>б</w:t>
      </w:r>
      <w:r>
        <w:rPr>
          <w:rFonts w:ascii="Tms Rmn" w:hAnsi="Tms Rmn" w:cs="Tms Rmn"/>
          <w:color w:val="000000"/>
          <w:lang w:eastAsia="ru-RU"/>
        </w:rPr>
        <w:t>ходимо зарегистрироваться и получить подтверждённую учётную запись в Единой системе идентификац</w:t>
      </w:r>
      <w:proofErr w:type="gramStart"/>
      <w:r>
        <w:rPr>
          <w:rFonts w:ascii="Tms Rmn" w:hAnsi="Tms Rmn" w:cs="Tms Rmn"/>
          <w:color w:val="000000"/>
          <w:lang w:eastAsia="ru-RU"/>
        </w:rPr>
        <w:t>ии и ау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тентификации (ЕСИА) на Едином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(</w:t>
      </w:r>
      <w:hyperlink r:id="rId10" w:history="1">
        <w:r>
          <w:rPr>
            <w:rFonts w:ascii="Tms Rmn" w:hAnsi="Tms Rmn" w:cs="Tms Rmn"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).</w:t>
      </w:r>
    </w:p>
    <w:p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Если гражданин уже зарегистрирован, при входе в Личный кабинет на сайте ЕГИССО ему необходимо использовать такой же логин и пароль, как на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. Вход в к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бинет можно осуществить как с компьютера, так и с мобильного телефона.</w:t>
      </w:r>
    </w:p>
    <w:p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сайте ЕГИССО реализован электронный сервис «Социальный калькулятор», кот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рым может воспользоваться любой человек. Калькулятор позволяет увидеть федеральные, региональные и муниципальные меры социальной защиты и поддержки, на которые он м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жет претендовать. Так, пользователь, выбрав регион проживания и указав льготную катег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рию (например, инвалид 1 группы), получит полную информацию о мерах социальной защ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ты, положенных льготнику по месту жительства.</w:t>
      </w:r>
    </w:p>
    <w:p>
      <w:r>
        <w:rPr>
          <w:rFonts w:ascii="Tms Rmn" w:hAnsi="Tms Rmn" w:cs="Tms Rmn"/>
          <w:color w:val="000000"/>
          <w:lang w:eastAsia="ru-RU"/>
        </w:rPr>
        <w:t> </w:t>
      </w:r>
    </w:p>
    <w:sectPr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220980</wp:posOffset>
              </wp:positionV>
              <wp:extent cx="6476365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6365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Государственное учреждение – Управление Пенсионного фонда</w:t>
                          </w: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 в Петроградском районе Санкт-Петербурга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05pt;margin-top:17.4pt;width:509.95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Q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" stroked="f">
              <v:fill opacity="0"/>
              <v:textbox inset="0,0,0,0"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         Государственное учреждение – Управление Пенсионного фонда</w:t>
                    </w: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ptab w:relativeTo="margin" w:alignment="center" w:leader="none"/>
                    </w:r>
                    <w:r>
                      <w:rPr>
                        <w:sz w:val="28"/>
                        <w:szCs w:val="28"/>
                      </w:rPr>
                      <w:t>Российской Федерации в Петроградском районе Санкт-Петербурга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8F8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2798B"/>
    <w:multiLevelType w:val="multilevel"/>
    <w:tmpl w:val="5B0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758AA"/>
    <w:multiLevelType w:val="multilevel"/>
    <w:tmpl w:val="651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87"/>
    <w:multiLevelType w:val="multilevel"/>
    <w:tmpl w:val="D56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iss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138D-DE52-4847-904A-AF1B0FBB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ps</cp:lastModifiedBy>
  <cp:revision>2</cp:revision>
  <cp:lastPrinted>2017-04-26T11:10:00Z</cp:lastPrinted>
  <dcterms:created xsi:type="dcterms:W3CDTF">2020-07-10T10:53:00Z</dcterms:created>
  <dcterms:modified xsi:type="dcterms:W3CDTF">2020-07-10T10:53:00Z</dcterms:modified>
</cp:coreProperties>
</file>